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28" w:rsidRPr="001768EF" w:rsidRDefault="00BD3428" w:rsidP="00BD342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BD3428" w:rsidRPr="001768EF" w:rsidRDefault="00BD3428" w:rsidP="00BD3428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Местное самоуправление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 w:rsidP="00BD3428">
      <w:pPr>
        <w:spacing w:line="240" w:lineRule="auto"/>
      </w:pP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1.Правовое регулирование сферы местного самоуправления на международном и национальном уровнях.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2. Правовое регулирование местного самоуправления и муниципального управления.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3. Территориальная организация местного самоуправления: история и со временность.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 4. Использование форм прямой (непосредственной) демократии в практике органов местного самоуправления: практические и проблемные аспекты.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 5. Объект муниципального управления как следствие двойственной при роды публичного управления.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6. Выбор базовой модели структуры органов местного самоуправления.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>7. Анализ структуры органов местного самоуправления (на примере конкретного муниципального образования).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 8. Разработка структуры местной администрации.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9. Анализ структуры местной администрации (на примере конкретного муниципального образования).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10. Анализ опыта решения вопросов местного значения органами местно- го самоуправления.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>11. Состав методов муниципального управления как следствие двойствен- ной природы публичного управления.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 12. Система правового регулирования общественных отношений в муниципальном образовании.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13. Возможности и пределы администрирования в муниципальном управлении.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>14. Коммуникации как один из способов осуществления муниципального управления.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 15. Подходы к определению муниципального хозяйства.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16. Правовые режимы муниципального имущества: преимущества и недостатки.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17. Взаимодействие органов местного самоуправления с муниципальными унитарными предприятиями.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>18. Создание муниципальных бюджетных и автономных учреждений: цели, преимущества и недостатки.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 19. Передача муниципального имущества в аренду: цели, преимущества и недостатки.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>20. Передача муниципального имущества в концессию: цели, преимущества и недостатки.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 21. Передача муниципального имущества в доверительное управление: цели, преимущества и недостатки.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lastRenderedPageBreak/>
        <w:t xml:space="preserve">22. Передача муниципального имущества в безвозмездное пользование: цели, преимущества и недостатки.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>23. Передача муниципального имущества межмуниципальным хозяйсвенным обществам: цели, преимущества и недостатки.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>24. Передача муниципального имущества некоммерческим организациям муниципальных образований: цели, преимущества и недостатки.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 25. Теория и практика развития публичного партнерства на субфедеральном и муниципальном уровнях.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 26. Пути укрепления доходной базы местных бюджетов.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 27. Повышение эффективности расходования средств местных бюджетов.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 28. Организация и система планирования в органах местного самоуправления.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29. Методы и технологии управления развитием муниципальных образований.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30. Необходимость и проблемы актуализации стратегий социально- экономического развития муниципальных образований.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31. Регламентация деятельности органов местного самоуправления.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32. Современные подходы к оказанию муниципальных услуг: правовые и практические аспекты.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>33. Оценка деятельности органов местного самоуправления: подходы и методы.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 34. Организация и система контроля в органах местного самоуправления.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35. Кадровая политика и кадровая работа в органах местного самоуправления.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36. Внедрение эффективных технологий и перспективных методов кадровой работы на муниципальной службе.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37. Организация документооборота в органах местного самоуправления. 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>38. Использование информационных технологий в муниципальном управлении.</w:t>
      </w:r>
    </w:p>
    <w:p w:rsidR="00BD3428" w:rsidRPr="00BD3428" w:rsidRDefault="00BD3428" w:rsidP="00BD3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428">
        <w:rPr>
          <w:rFonts w:ascii="Times New Roman" w:hAnsi="Times New Roman"/>
          <w:sz w:val="28"/>
          <w:szCs w:val="28"/>
        </w:rPr>
        <w:t xml:space="preserve">39. Обеспечение взаимосвязи государственной гражданской службы и муниципальной службы. </w:t>
      </w:r>
    </w:p>
    <w:p w:rsidR="00BD3428" w:rsidRDefault="00BD3428" w:rsidP="00BD3428">
      <w:pPr>
        <w:spacing w:after="0" w:line="240" w:lineRule="auto"/>
        <w:jc w:val="both"/>
      </w:pPr>
      <w:r w:rsidRPr="00BD3428">
        <w:rPr>
          <w:rFonts w:ascii="Times New Roman" w:hAnsi="Times New Roman"/>
          <w:sz w:val="28"/>
          <w:szCs w:val="28"/>
        </w:rPr>
        <w:t>40. Формирование антикоррупционной компетентности муниципальных служащих</w:t>
      </w:r>
      <w:r>
        <w:rPr>
          <w:rFonts w:ascii="Times New Roman" w:hAnsi="Times New Roman"/>
          <w:sz w:val="28"/>
          <w:szCs w:val="28"/>
        </w:rPr>
        <w:t>.</w:t>
      </w:r>
    </w:p>
    <w:sectPr w:rsidR="00BD3428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3428"/>
    <w:rsid w:val="00707AF9"/>
    <w:rsid w:val="008C57CF"/>
    <w:rsid w:val="00AD1EA8"/>
    <w:rsid w:val="00BD342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2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2017-02-09T12:36:00Z</dcterms:created>
  <dcterms:modified xsi:type="dcterms:W3CDTF">2017-02-09T12:39:00Z</dcterms:modified>
</cp:coreProperties>
</file>